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22"/>
    <w:p>
      <w:pPr>
        <w:pStyle w:val="Heading1"/>
      </w:pPr>
      <w:r>
        <w:t xml:space="preserve">Homiletics Analysis: Genesis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22 records the supreme test of Abraham’s faith: God commands the patriarch to offer his son Isaac — the son of promise, the son of laughter, the one through whom every covenant word depends — as a burnt offering on a mountain in Moriah. The narrative moves with measured, almost unbearable precision. Abraham rises early, cuts wood, travels three days, leaves his servants behind, ascends with Isaac, answers his son’s piercing question about the lamb with a word that functions simultaneously as faith-statement and prophecy (</w:t>
      </w:r>
      <w:r>
        <w:t xml:space="preserve">“God will provide for himself the lamb”</w:t>
      </w:r>
      <w:r>
        <w:t xml:space="preserve">), binds Isaac, raises the knife — and is stopped. The angel of the LORD calls from heaven, Abraham looks up and sees a ram caught in a thicket, and the substitution is made. God swears by Himself that because Abraham has not withheld his son, He will multiply Abraham’s offspring and through them bless all nations. The place is named</w:t>
      </w:r>
      <w:r>
        <w:t xml:space="preserve"> </w:t>
      </w:r>
      <w:r>
        <w:t xml:space="preserve">“The LORD Will Provide.”</w:t>
      </w:r>
      <w:r>
        <w:t xml:space="preserve"> </w:t>
      </w:r>
      <w:r>
        <w:t xml:space="preserve">The chapter closes with a brief genealogical note on Nahor’s family, introducing Rebekah — the future bride of Isaac.</w:t>
      </w:r>
    </w:p>
    <w:p>
      <w:pPr>
        <w:pStyle w:val="BodyText"/>
      </w:pPr>
      <w:r>
        <w:t xml:space="preserve">The narrative’s literary structure is deliberately symmetric: the opening command mirrors the closing commendation; the three-day journey to Moriah and back frames the central moment of sacrifice and substitution; Abraham’s twice-spoken</w:t>
      </w:r>
      <w:r>
        <w:t xml:space="preserve"> </w:t>
      </w:r>
      <w:r>
        <w:t xml:space="preserve">“we will come back”</w:t>
      </w:r>
      <w:r>
        <w:t xml:space="preserve"> </w:t>
      </w:r>
      <w:r>
        <w:t xml:space="preserve">(v. 5) and</w:t>
      </w:r>
      <w:r>
        <w:t xml:space="preserve"> </w:t>
      </w:r>
      <w:r>
        <w:t xml:space="preserve">“God will provide”</w:t>
      </w:r>
      <w:r>
        <w:t xml:space="preserve"> </w:t>
      </w:r>
      <w:r>
        <w:t xml:space="preserve">(v. 8) are not evasions but acts of faith that the narrative retroactively validates. The binding of Isaac (</w:t>
      </w:r>
      <w:r>
        <w:rPr>
          <w:i/>
          <w:iCs/>
        </w:rPr>
        <w:t xml:space="preserve">Akedah</w:t>
      </w:r>
      <w:r>
        <w:t xml:space="preserve">) is the climactic test within the Abraham cycle, and the text itself identifies it as such:</w:t>
      </w:r>
      <w:r>
        <w:t xml:space="preserve"> </w:t>
      </w:r>
      <w:r>
        <w:t xml:space="preserve">“After these things God tested Abraham”</w:t>
      </w:r>
      <w:r>
        <w:t xml:space="preserve"> </w:t>
      </w:r>
      <w:r>
        <w:t xml:space="preserve">(v. 1).</w:t>
      </w:r>
    </w:p>
    <w:p>
      <w:pPr>
        <w:pStyle w:val="BodyText"/>
      </w:pPr>
      <w:r>
        <w:rPr>
          <w:b/>
          <w:bCs/>
        </w:rPr>
        <w:t xml:space="preserve">This Text — Intent</w:t>
      </w:r>
    </w:p>
    <w:p>
      <w:pPr>
        <w:pStyle w:val="BodyText"/>
      </w:pPr>
      <w:r>
        <w:t xml:space="preserve">God is doing two things simultaneously through this passage. First, He is demonstrating to Abraham — and through the narrative to every subsequent reader — what it means to fear God with undivided, Isaac-surrendering trust. The chapter calls every reader to the same posture: holding nothing back from the God who both gives and asks. Second, and inseparable from the first, God is pointing forward. The ram in the thicket is not the resolution of the tension — it is the deferral of the resolution to a greater provision. The place-name</w:t>
      </w:r>
      <w:r>
        <w:t xml:space="preserve"> </w:t>
      </w:r>
      <w:r>
        <w:t xml:space="preserve">“The LORD Will Provide”</w:t>
      </w:r>
      <w:r>
        <w:t xml:space="preserve"> </w:t>
      </w:r>
      <w:r>
        <w:t xml:space="preserve">(Yahweh-Jireh) is spoken with a future tense:</w:t>
      </w:r>
      <w:r>
        <w:t xml:space="preserve"> </w:t>
      </w:r>
      <w:r>
        <w:t xml:space="preserve">“on the mountain of the LORD it shall be provided”</w:t>
      </w:r>
      <w:r>
        <w:t xml:space="preserve"> </w:t>
      </w:r>
      <w:r>
        <w:t xml:space="preserve">(v. 14). God is seeking to produce in the reader both radical, unhoarding faith and eschatological expectation — the conviction that every provision in the narrative of redemption is pointing forward to a final, unreserved provision that God Himself will make.</w:t>
      </w:r>
    </w:p>
    <w:p>
      <w:r>
        <w:pict>
          <v:rect style="width:0;height:1.5pt" o:hralign="center" o:hrstd="t" o:hr="t"/>
        </w:pict>
      </w:r>
    </w:p>
    <w:p>
      <w:pPr>
        <w:pStyle w:val="FirstParagraph"/>
      </w:pPr>
      <w:r>
        <w:rPr>
          <w:b/>
          <w:bCs/>
        </w:rPr>
        <w:t xml:space="preserve">Subject Sentence:</w:t>
      </w:r>
      <w:r>
        <w:t xml:space="preserve"> </w:t>
      </w:r>
      <w:r>
        <w:t xml:space="preserve">The God who tests faith also provides the sacrifice — at a cost only He could bear.</w:t>
      </w:r>
    </w:p>
    <w:p>
      <w:r>
        <w:pict>
          <v:rect style="width:0;height:1.5pt" o:hralign="center" o:hrstd="t" o:hr="t"/>
        </w:pict>
      </w:r>
    </w:p>
    <w:p>
      <w:pPr>
        <w:pStyle w:val="FirstParagraph"/>
      </w:pPr>
      <w:r>
        <w:rPr>
          <w:b/>
          <w:bCs/>
        </w:rPr>
        <w:t xml:space="preserve">Primary Claim:</w:t>
      </w:r>
      <w:r>
        <w:t xml:space="preserve"> </w:t>
      </w:r>
      <w:r>
        <w:t xml:space="preserve">God calls His people to an undivided, Isaac-surrendering trust — and He underwrites that call by providing, at His own cost, what no obedience could ever supply. Abraham’s radical faith is not the resolution of Genesis 22; the ram that God Himself provides is, and it points beyond itself to a provision that will cost God not a ram but a Son.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“test”</w:t>
      </w:r>
      <w:r>
        <w:rPr>
          <w:b/>
          <w:bCs/>
        </w:rPr>
        <w:t xml:space="preserve"> </w:t>
      </w:r>
      <w:r>
        <w:rPr>
          <w:b/>
          <w:bCs/>
        </w:rPr>
        <w:t xml:space="preserve">— does God tempt?</w:t>
      </w:r>
    </w:p>
    <w:p>
      <w:pPr>
        <w:pStyle w:val="BodyText"/>
      </w:pPr>
      <w:r>
        <w:t xml:space="preserve">Some readers, drawing on James 1:13 (</w:t>
      </w:r>
      <w:r>
        <w:t xml:space="preserve">“God tempts no one”</w:t>
      </w:r>
      <w:r>
        <w:t xml:space="preserve">), have felt tension with v. 1’s flat statement that</w:t>
      </w:r>
      <w:r>
        <w:t xml:space="preserve"> </w:t>
      </w:r>
      <w:r>
        <w:t xml:space="preserve">“God tested Abraham.”</w:t>
      </w:r>
      <w:r>
        <w:t xml:space="preserve"> </w:t>
      </w:r>
      <w:r>
        <w:t xml:space="preserve">The resolution is not difficult but is worth stating clearly: the Hebrew</w:t>
      </w:r>
      <w:r>
        <w:t xml:space="preserve"> </w:t>
      </w:r>
      <w:r>
        <w:rPr>
          <w:i/>
          <w:iCs/>
        </w:rPr>
        <w:t xml:space="preserve">nissah</w:t>
      </w:r>
      <w:r>
        <w:t xml:space="preserve"> </w:t>
      </w:r>
      <w:r>
        <w:t xml:space="preserve">(test/prove) is consistently used in the Old Testament for trials that are divinely ordained to expose, strengthen, and demonstrate faith already present — not to induce sin (Exodus 16:4; Deuteronomy 8:2). The test is not an attempt to make Abraham fail; it is the occasion on which Abraham’s faith becomes visible and verified. No refutation is required of the broader Christian tradition here, since the Reformed, Lutheran, Wesleyan, and Baptist readings all concur on this point.</w:t>
      </w:r>
    </w:p>
    <w:p>
      <w:pPr>
        <w:pStyle w:val="BodyText"/>
      </w:pPr>
      <w:r>
        <w:rPr>
          <w:b/>
          <w:bCs/>
        </w:rPr>
        <w:t xml:space="preserve">Was Abraham planning to actually kill Isaac?</w:t>
      </w:r>
    </w:p>
    <w:p>
      <w:pPr>
        <w:pStyle w:val="BodyText"/>
      </w:pPr>
      <w:r>
        <w:t xml:space="preserve">A common softening of the passage suggests Abraham knew God would intervene and therefore the test was not truly radical. This misreads the narrative. Hebrews 11:17-19 is the authoritative New Testament commentary: Abraham</w:t>
      </w:r>
      <w:r>
        <w:t xml:space="preserve"> </w:t>
      </w:r>
      <w:r>
        <w:t xml:space="preserve">“offered up Isaac”</w:t>
      </w:r>
      <w:r>
        <w:t xml:space="preserve"> </w:t>
      </w:r>
      <w:r>
        <w:t xml:space="preserve">(perfect tense — the act was complete in his intention) and</w:t>
      </w:r>
      <w:r>
        <w:t xml:space="preserve"> </w:t>
      </w:r>
      <w:r>
        <w:t xml:space="preserve">“concluded that God was able to raise him from the dead.”</w:t>
      </w:r>
      <w:r>
        <w:t xml:space="preserve"> </w:t>
      </w:r>
      <w:r>
        <w:t xml:space="preserve">Abraham’s faith was not a calculation that God would stop him — it was the conviction that even if God did not stop him, God would still fulfill His promise, even through resurrection. The knife was real. The test was real. The faith was real. Any reading that domesticates the moment into a confidence that</w:t>
      </w:r>
      <w:r>
        <w:t xml:space="preserve"> </w:t>
      </w:r>
      <w:r>
        <w:t xml:space="preserve">“of course God would intervene”</w:t>
      </w:r>
      <w:r>
        <w:t xml:space="preserve"> </w:t>
      </w:r>
      <w:r>
        <w:t xml:space="preserve">evacuates both the test’s severity and Abraham’s faith’s magnitude.</w:t>
      </w:r>
    </w:p>
    <w:p>
      <w:pPr>
        <w:pStyle w:val="BodyText"/>
      </w:pPr>
      <w:r>
        <w:rPr>
          <w:b/>
          <w:bCs/>
        </w:rPr>
        <w:t xml:space="preserve">The Christological reading — typology vs. allegory</w:t>
      </w:r>
    </w:p>
    <w:p>
      <w:pPr>
        <w:pStyle w:val="BodyText"/>
      </w:pPr>
      <w:r>
        <w:t xml:space="preserve">The New Testament and the historic Reformed tradition read Genesis 22 as genuine typological anticipation of the atonement: Isaac as a type of Christ, the ram as a type of the substitutionary sacrifice, Moriah as the region of Jerusalem,</w:t>
      </w:r>
      <w:r>
        <w:t xml:space="preserve"> </w:t>
      </w:r>
      <w:r>
        <w:t xml:space="preserve">“God will provide the lamb”</w:t>
      </w:r>
      <w:r>
        <w:t xml:space="preserve"> </w:t>
      </w:r>
      <w:r>
        <w:t xml:space="preserve">as prophecy and pre-enactment. This is not allegory (importing external meanings) but typology (reading the passage’s own structures and themes as divinely placed pointers fulfilled in Christ). The Reformed reading affirms typological reading as controlled, canonical, and exegetically grounded — not as eisegesis.</w:t>
      </w:r>
    </w:p>
    <w:p>
      <w:pPr>
        <w:pStyle w:val="BodyText"/>
      </w:pPr>
      <w:r>
        <w:t xml:space="preserve">Some dispensational and critical-historical readings resist the Christological typology, insisting the passage must be read first (and nearly exclusively) in its historical context as a test of Abraham’s covenant faithfulness. This reading is correct in its insistence on grammatical-historical grounding but incomplete: the passage’s own forward-pointing language (</w:t>
      </w:r>
      <w:r>
        <w:t xml:space="preserve">“on the mountain of the LORD</w:t>
      </w:r>
      <w:r>
        <w:t xml:space="preserve"> </w:t>
      </w:r>
      <w:r>
        <w:rPr>
          <w:i/>
          <w:iCs/>
        </w:rPr>
        <w:t xml:space="preserve">it shall be provided</w:t>
      </w:r>
      <w:r>
        <w:t xml:space="preserve">”</w:t>
      </w:r>
      <w:r>
        <w:t xml:space="preserve"> </w:t>
      </w:r>
      <w:r>
        <w:t xml:space="preserve">— future tense in v. 14; the oath’s scope reaching</w:t>
      </w:r>
      <w:r>
        <w:t xml:space="preserve"> </w:t>
      </w:r>
      <w:r>
        <w:t xml:space="preserve">“all nations of the earth”</w:t>
      </w:r>
      <w:r>
        <w:t xml:space="preserve"> </w:t>
      </w:r>
      <w:r>
        <w:t xml:space="preserve">in v. 18) signals that the narrative is not resolved at the ram. The Reformed reading retains both the historical grounding and the typological freight. The dispensational reading is acknowledged for its exegetical caution but qualified for its interpretive incompleteness.</w:t>
      </w:r>
    </w:p>
    <w:p>
      <w:pPr>
        <w:pStyle w:val="BodyText"/>
      </w:pPr>
      <w:r>
        <w:rPr>
          <w:b/>
          <w:bCs/>
        </w:rPr>
        <w:t xml:space="preserve">The Akedah in Jewish tradition</w:t>
      </w:r>
    </w:p>
    <w:p>
      <w:pPr>
        <w:pStyle w:val="BodyText"/>
      </w:pPr>
      <w:r>
        <w:t xml:space="preserve">Jewish tradition (particularly from the second-temple period onward) frequently reads the</w:t>
      </w:r>
      <w:r>
        <w:t xml:space="preserve"> </w:t>
      </w:r>
      <w:r>
        <w:rPr>
          <w:i/>
          <w:iCs/>
        </w:rPr>
        <w:t xml:space="preserve">Akedah</w:t>
      </w:r>
      <w:r>
        <w:t xml:space="preserve"> </w:t>
      </w:r>
      <w:r>
        <w:t xml:space="preserve">as Isaac’s meritorious act — that Isaac’s willingness to be offered contributes salvific merit to subsequent generations of Israel. This reading is clearly refuted by the text: the angel stays</w:t>
      </w:r>
      <w:r>
        <w:t xml:space="preserve"> </w:t>
      </w:r>
      <w:r>
        <w:rPr>
          <w:i/>
          <w:iCs/>
        </w:rPr>
        <w:t xml:space="preserve">Abraham’s</w:t>
      </w:r>
      <w:r>
        <w:t xml:space="preserve"> </w:t>
      </w:r>
      <w:r>
        <w:t xml:space="preserve">hand and commends</w:t>
      </w:r>
      <w:r>
        <w:t xml:space="preserve"> </w:t>
      </w:r>
      <w:r>
        <w:rPr>
          <w:i/>
          <w:iCs/>
        </w:rPr>
        <w:t xml:space="preserve">Abraham’s</w:t>
      </w:r>
      <w:r>
        <w:t xml:space="preserve"> </w:t>
      </w:r>
      <w:r>
        <w:t xml:space="preserve">fear of God (v. 12). Isaac is not addressed; Isaac’s willingness is not mentioned. The meritorious Isaac reading imports a theology the narrative does not support and, more fundamentally, misses the typological function: Isaac is not the agent of atonement but the figure whom the ram replaces, pointing to the One who will not be replaced.</w:t>
      </w:r>
    </w:p>
    <w:p>
      <w:pPr>
        <w:pStyle w:val="BodyText"/>
      </w:pPr>
      <w:r>
        <w:rPr>
          <w:b/>
          <w:bCs/>
        </w:rPr>
        <w:t xml:space="preserve">Wesleyan/Arminian reading — Abraham’s moral example</w:t>
      </w:r>
    </w:p>
    <w:p>
      <w:pPr>
        <w:pStyle w:val="BodyText"/>
      </w:pPr>
      <w:r>
        <w:t xml:space="preserve">Some Wesleyan and broader evangelical readings center the passage’s application on Abraham as the supreme model of obedience:</w:t>
      </w:r>
      <w:r>
        <w:t xml:space="preserve"> </w:t>
      </w:r>
      <w:r>
        <w:t xml:space="preserve">“do what Abraham did.”</w:t>
      </w:r>
      <w:r>
        <w:t xml:space="preserve"> </w:t>
      </w:r>
      <w:r>
        <w:t xml:space="preserve">This reading is not wrong but is incomplete. It tends to collapse the passage’s Primary Claim into a behavioral imperative and misses both the Christological typology (the ram) and the covenant-grounding that makes Abraham’s faith intelligible (he trusts</w:t>
      </w:r>
      <w:r>
        <w:t xml:space="preserve"> </w:t>
      </w:r>
      <w:r>
        <w:rPr>
          <w:i/>
          <w:iCs/>
        </w:rPr>
        <w:t xml:space="preserve">because</w:t>
      </w:r>
      <w:r>
        <w:t xml:space="preserve"> </w:t>
      </w:r>
      <w:r>
        <w:t xml:space="preserve">God has proven Himself in the covenant, not merely because obedience is commanded). Application that generates only</w:t>
      </w:r>
      <w:r>
        <w:t xml:space="preserve"> </w:t>
      </w:r>
      <w:r>
        <w:t xml:space="preserve">“be like Abraham”</w:t>
      </w:r>
      <w:r>
        <w:t xml:space="preserve"> </w:t>
      </w:r>
      <w:r>
        <w:t xml:space="preserve">produces moralism. The Reformed reading affirms Abraham as model while insisting the model is unintelligible apart from the God who provides and the gospel the ram anticipates.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11:17-19</w:t>
      </w:r>
      <w:r>
        <w:t xml:space="preserve"> </w:t>
      </w:r>
      <w:r>
        <w:t xml:space="preserve">— The authoritative New Testament interpretation of Genesis 22: Abraham</w:t>
      </w:r>
      <w:r>
        <w:t xml:space="preserve"> </w:t>
      </w:r>
      <w:r>
        <w:t xml:space="preserve">“offered up”</w:t>
      </w:r>
      <w:r>
        <w:t xml:space="preserve"> </w:t>
      </w:r>
      <w:r>
        <w:t xml:space="preserve">Isaac (complete in intention), reasoning that God could raise the dead,</w:t>
      </w:r>
      <w:r>
        <w:t xml:space="preserve"> </w:t>
      </w:r>
      <w:r>
        <w:t xml:space="preserve">“from which, figuratively speaking, he did receive him back.”</w:t>
      </w:r>
      <w:r>
        <w:t xml:space="preserve"> </w:t>
      </w:r>
      <w:r>
        <w:t xml:space="preserve">Grounds the faith-act in resurrection hope and validates the typological reading.</w:t>
      </w:r>
    </w:p>
    <w:p>
      <w:pPr>
        <w:numPr>
          <w:ilvl w:val="0"/>
          <w:numId w:val="1001"/>
        </w:numPr>
      </w:pPr>
      <w:r>
        <w:rPr>
          <w:b/>
          <w:bCs/>
        </w:rPr>
        <w:t xml:space="preserve">John 3:16</w:t>
      </w:r>
      <w:r>
        <w:t xml:space="preserve"> </w:t>
      </w:r>
      <w:r>
        <w:t xml:space="preserve">—</w:t>
      </w:r>
      <w:r>
        <w:t xml:space="preserve"> </w:t>
      </w:r>
      <w:r>
        <w:t xml:space="preserve">“God so loved the world that he gave his only Son”</w:t>
      </w:r>
      <w:r>
        <w:t xml:space="preserve"> </w:t>
      </w:r>
      <w:r>
        <w:t xml:space="preserve">— the verbal and theological parallel is not accidental: both passages turn on a father, a son, an only son, and a giving that is unreserved. What Abraham was stopped from completing, the Father carried through.</w:t>
      </w:r>
    </w:p>
    <w:p>
      <w:pPr>
        <w:numPr>
          <w:ilvl w:val="0"/>
          <w:numId w:val="1001"/>
        </w:numPr>
      </w:pPr>
      <w:r>
        <w:rPr>
          <w:b/>
          <w:bCs/>
        </w:rPr>
        <w:t xml:space="preserve">John 1:29</w:t>
      </w:r>
      <w:r>
        <w:t xml:space="preserve"> </w:t>
      </w:r>
      <w:r>
        <w:t xml:space="preserve">— John the Baptist’s identification of Jesus as</w:t>
      </w:r>
      <w:r>
        <w:t xml:space="preserve"> </w:t>
      </w:r>
      <w:r>
        <w:t xml:space="preserve">“the Lamb of God who takes away the sin of the world”</w:t>
      </w:r>
      <w:r>
        <w:t xml:space="preserve"> </w:t>
      </w:r>
      <w:r>
        <w:t xml:space="preserve">— the provision that Yahweh-Jireh named in v. 14 (</w:t>
      </w:r>
      <w:r>
        <w:t xml:space="preserve">“on the mountain of the LORD it shall be provided”</w:t>
      </w:r>
      <w:r>
        <w:t xml:space="preserve">) arrives in the person of Christ; the Lamb of Genesis 22 is finally named.</w:t>
      </w:r>
    </w:p>
    <w:p>
      <w:pPr>
        <w:numPr>
          <w:ilvl w:val="0"/>
          <w:numId w:val="1001"/>
        </w:numPr>
      </w:pPr>
      <w:r>
        <w:rPr>
          <w:b/>
          <w:bCs/>
        </w:rPr>
        <w:t xml:space="preserve">Romans 8:32</w:t>
      </w:r>
      <w:r>
        <w:t xml:space="preserve"> </w:t>
      </w:r>
      <w:r>
        <w:t xml:space="preserve">—</w:t>
      </w:r>
      <w:r>
        <w:t xml:space="preserve"> </w:t>
      </w:r>
      <w:r>
        <w:t xml:space="preserve">“He who did not spare his own Son but gave him up for us all”</w:t>
      </w:r>
      <w:r>
        <w:t xml:space="preserve"> </w:t>
      </w:r>
      <w:r>
        <w:t xml:space="preserve">— Paul’s language explicitly echoes the LXX of Genesis 22:16 (</w:t>
      </w:r>
      <w:r>
        <w:t xml:space="preserve">“you have not withheld your son, your only son”</w:t>
      </w:r>
      <w:r>
        <w:t xml:space="preserve">). The connection is not coincidental; Paul is reading Abraham’s test as the template the Father fulfilled in the crucifixion.</w:t>
      </w:r>
    </w:p>
    <w:p>
      <w:pPr>
        <w:numPr>
          <w:ilvl w:val="0"/>
          <w:numId w:val="1001"/>
        </w:numPr>
      </w:pPr>
      <w:r>
        <w:rPr>
          <w:b/>
          <w:bCs/>
        </w:rPr>
        <w:t xml:space="preserve">Genesis 12:1-3; 15:1-6; 17:1-8</w:t>
      </w:r>
      <w:r>
        <w:t xml:space="preserve"> </w:t>
      </w:r>
      <w:r>
        <w:t xml:space="preserve">— The Abrahamic covenant cycle: the promises at stake in Genesis 22 were made in chapters 12, 15, and 17. The test of chapter 22 cannot be understood apart from those prior covenant commitments — Abraham is trusting a God who has already sworn, already promised, already acted. The test is the crucible in which prior covenant faith is proven and the covenant is sworn again, now with divine self-oath.</w:t>
      </w:r>
    </w:p>
    <w:p>
      <w:r>
        <w:pict>
          <v:rect style="width:0;height:1.5pt" o:hralign="center" o:hrstd="t" o:hr="t"/>
        </w:pict>
      </w:r>
    </w:p>
    <w:p>
      <w:pPr>
        <w:pStyle w:val="FirstParagraph"/>
      </w:pPr>
      <w:r>
        <w:rPr>
          <w:b/>
          <w:bCs/>
        </w:rPr>
        <w:t xml:space="preserve">Aim:</w:t>
      </w:r>
      <w:r>
        <w:t xml:space="preserve"> </w:t>
      </w:r>
      <w:r>
        <w:t xml:space="preserve">To show that the undivided trust Genesis 22 demands is not Abraham’s heroic achievement but the fruit of encountering the God who provides what He asks — and that this provision reaches its final, unreserved expression in the cross.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God tests Abraham — called by name, Abraham answers</w:t>
            </w:r>
            <w:r>
              <w:t xml:space="preserve"> </w:t>
            </w:r>
            <w:r>
              <w:t xml:space="preserve">“Here I am”</w:t>
            </w:r>
          </w:p>
        </w:tc>
        <w:tc>
          <w:tcPr/>
          <w:p>
            <w:pPr>
              <w:pStyle w:val="Compact"/>
            </w:pPr>
            <w:r>
              <w:rPr>
                <w:i/>
                <w:iCs/>
              </w:rPr>
              <w:t xml:space="preserve">nissah</w:t>
            </w:r>
            <w:r>
              <w:t xml:space="preserve"> </w:t>
            </w:r>
            <w:r>
              <w:t xml:space="preserve">= test/prove;</w:t>
            </w:r>
            <w:r>
              <w:t xml:space="preserve"> </w:t>
            </w:r>
            <w:r>
              <w:t xml:space="preserve">“Here I am”</w:t>
            </w:r>
            <w:r>
              <w:t xml:space="preserve"> </w:t>
            </w:r>
            <w:r>
              <w:t xml:space="preserve">(</w:t>
            </w:r>
            <w:r>
              <w:rPr>
                <w:i/>
                <w:iCs/>
              </w:rPr>
              <w:t xml:space="preserve">hineni</w:t>
            </w:r>
            <w:r>
              <w:t xml:space="preserve">) signals complete availability — appears three times in the chapter (vv. 1, 7, 11)</w:t>
            </w:r>
          </w:p>
        </w:tc>
      </w:tr>
      <w:tr>
        <w:tc>
          <w:tcPr/>
          <w:p>
            <w:pPr>
              <w:pStyle w:val="Compact"/>
            </w:pPr>
            <w:r>
              <w:t xml:space="preserve">2</w:t>
            </w:r>
          </w:p>
        </w:tc>
        <w:tc>
          <w:tcPr/>
          <w:p>
            <w:pPr>
              <w:pStyle w:val="Compact"/>
            </w:pPr>
            <w:r>
              <w:t xml:space="preserve">The command: take your son, your only son, Isaac, whom you love, to Moriah — offer him as a burnt offering</w:t>
            </w:r>
          </w:p>
        </w:tc>
        <w:tc>
          <w:tcPr/>
          <w:p>
            <w:pPr>
              <w:pStyle w:val="Compact"/>
            </w:pPr>
            <w:r>
              <w:t xml:space="preserve">The fourfold intensification (</w:t>
            </w:r>
            <w:r>
              <w:t xml:space="preserve">“your son / your only son / Isaac / whom you love”</w:t>
            </w:r>
            <w:r>
              <w:t xml:space="preserve">) makes the command’s weight explicit; Moriah = Jerusalem region (2 Chronicles 3:1)</w:t>
            </w:r>
          </w:p>
        </w:tc>
      </w:tr>
      <w:tr>
        <w:tc>
          <w:tcPr/>
          <w:p>
            <w:pPr>
              <w:pStyle w:val="Compact"/>
            </w:pPr>
            <w:r>
              <w:t xml:space="preserve">3</w:t>
            </w:r>
          </w:p>
        </w:tc>
        <w:tc>
          <w:tcPr/>
          <w:p>
            <w:pPr>
              <w:pStyle w:val="Compact"/>
            </w:pPr>
            <w:r>
              <w:t xml:space="preserve">Abraham rises early, saddles his donkey, takes two servants and Isaac, splits the wood, departs</w:t>
            </w:r>
          </w:p>
        </w:tc>
        <w:tc>
          <w:tcPr/>
          <w:p>
            <w:pPr>
              <w:pStyle w:val="Compact"/>
            </w:pPr>
            <w:r>
              <w:t xml:space="preserve">No recorded protest, no delay — the early rising signals resolute obedience</w:t>
            </w:r>
          </w:p>
        </w:tc>
      </w:tr>
      <w:tr>
        <w:tc>
          <w:tcPr/>
          <w:p>
            <w:pPr>
              <w:pStyle w:val="Compact"/>
            </w:pPr>
            <w:r>
              <w:t xml:space="preserve">4</w:t>
            </w:r>
          </w:p>
        </w:tc>
        <w:tc>
          <w:tcPr/>
          <w:p>
            <w:pPr>
              <w:pStyle w:val="Compact"/>
            </w:pPr>
            <w:r>
              <w:t xml:space="preserve">On the third day Abraham looks up and sees the place from afar</w:t>
            </w:r>
          </w:p>
        </w:tc>
        <w:tc>
          <w:tcPr/>
          <w:p>
            <w:pPr>
              <w:pStyle w:val="Compact"/>
            </w:pPr>
            <w:r>
              <w:t xml:space="preserve">Three-day journey creates temporal space for sustained faith under pressure;</w:t>
            </w:r>
            <w:r>
              <w:t xml:space="preserve"> </w:t>
            </w:r>
            <w:r>
              <w:t xml:space="preserve">“looked up”</w:t>
            </w:r>
            <w:r>
              <w:t xml:space="preserve"> </w:t>
            </w:r>
            <w:r>
              <w:t xml:space="preserve">(</w:t>
            </w:r>
            <w:r>
              <w:rPr>
                <w:i/>
                <w:iCs/>
              </w:rPr>
              <w:t xml:space="preserve">wayyissa’ ’enaw</w:t>
            </w:r>
            <w:r>
              <w:t xml:space="preserve">) — recurs in v. 13</w:t>
            </w:r>
          </w:p>
        </w:tc>
      </w:tr>
      <w:tr>
        <w:tc>
          <w:tcPr/>
          <w:p>
            <w:pPr>
              <w:pStyle w:val="Compact"/>
            </w:pPr>
            <w:r>
              <w:t xml:space="preserve">5</w:t>
            </w:r>
          </w:p>
        </w:tc>
        <w:tc>
          <w:tcPr/>
          <w:p>
            <w:pPr>
              <w:pStyle w:val="Compact"/>
            </w:pPr>
            <w:r>
              <w:t xml:space="preserve">Abraham tells the servants</w:t>
            </w:r>
            <w:r>
              <w:t xml:space="preserve"> </w:t>
            </w:r>
            <w:r>
              <w:t xml:space="preserve">“we will come back”</w:t>
            </w:r>
            <w:r>
              <w:t xml:space="preserve"> </w:t>
            </w:r>
            <w:r>
              <w:t xml:space="preserve">— leaves them, takes Isaac</w:t>
            </w:r>
          </w:p>
        </w:tc>
        <w:tc>
          <w:tcPr/>
          <w:p>
            <w:pPr>
              <w:pStyle w:val="Compact"/>
            </w:pPr>
            <w:r>
              <w:t xml:space="preserve">“We will come back”</w:t>
            </w:r>
            <w:r>
              <w:t xml:space="preserve"> </w:t>
            </w:r>
            <w:r>
              <w:t xml:space="preserve">— either faith or prophecy or both; Hebrews 11:19 reads it as resurrection faith</w:t>
            </w:r>
          </w:p>
        </w:tc>
      </w:tr>
      <w:tr>
        <w:tc>
          <w:tcPr/>
          <w:p>
            <w:pPr>
              <w:pStyle w:val="Compact"/>
            </w:pPr>
            <w:r>
              <w:t xml:space="preserve">6</w:t>
            </w:r>
          </w:p>
        </w:tc>
        <w:tc>
          <w:tcPr/>
          <w:p>
            <w:pPr>
              <w:pStyle w:val="Compact"/>
            </w:pPr>
            <w:r>
              <w:t xml:space="preserve">Abraham lays the wood on Isaac; takes fire and knife; they go together</w:t>
            </w:r>
          </w:p>
        </w:tc>
        <w:tc>
          <w:tcPr/>
          <w:p>
            <w:pPr>
              <w:pStyle w:val="Compact"/>
            </w:pPr>
            <w:r>
              <w:t xml:space="preserve">Isaac bearing the wood — the typological resonance with Christ carrying the cross (John 19:17) is clear in retrospect</w:t>
            </w:r>
          </w:p>
        </w:tc>
      </w:tr>
      <w:tr>
        <w:tc>
          <w:tcPr/>
          <w:p>
            <w:pPr>
              <w:pStyle w:val="Compact"/>
            </w:pPr>
            <w:r>
              <w:t xml:space="preserve">7</w:t>
            </w:r>
          </w:p>
        </w:tc>
        <w:tc>
          <w:tcPr/>
          <w:p>
            <w:pPr>
              <w:pStyle w:val="Compact"/>
            </w:pPr>
            <w:r>
              <w:t xml:space="preserve">Isaac:</w:t>
            </w:r>
            <w:r>
              <w:t xml:space="preserve"> </w:t>
            </w:r>
            <w:r>
              <w:t xml:space="preserve">“Father”</w:t>
            </w:r>
            <w:r>
              <w:t xml:space="preserve"> </w:t>
            </w:r>
            <w:r>
              <w:t xml:space="preserve">/ Abraham:</w:t>
            </w:r>
            <w:r>
              <w:t xml:space="preserve"> </w:t>
            </w:r>
            <w:r>
              <w:t xml:space="preserve">“Here I am”</w:t>
            </w:r>
            <w:r>
              <w:t xml:space="preserve"> </w:t>
            </w:r>
            <w:r>
              <w:t xml:space="preserve">/ Isaac:</w:t>
            </w:r>
            <w:r>
              <w:t xml:space="preserve"> </w:t>
            </w:r>
            <w:r>
              <w:t xml:space="preserve">“Where is the lamb?”</w:t>
            </w:r>
          </w:p>
        </w:tc>
        <w:tc>
          <w:tcPr/>
          <w:p>
            <w:pPr>
              <w:pStyle w:val="Compact"/>
            </w:pPr>
            <w:r>
              <w:t xml:space="preserve">Second</w:t>
            </w:r>
            <w:r>
              <w:t xml:space="preserve"> </w:t>
            </w:r>
            <w:r>
              <w:rPr>
                <w:i/>
                <w:iCs/>
              </w:rPr>
              <w:t xml:space="preserve">hineni</w:t>
            </w:r>
            <w:r>
              <w:t xml:space="preserve"> </w:t>
            </w:r>
            <w:r>
              <w:t xml:space="preserve">— Abraham’s full presence to his son even in the anguish of the moment</w:t>
            </w:r>
          </w:p>
        </w:tc>
      </w:tr>
      <w:tr>
        <w:tc>
          <w:tcPr/>
          <w:p>
            <w:pPr>
              <w:pStyle w:val="Compact"/>
            </w:pPr>
            <w:r>
              <w:t xml:space="preserve">8</w:t>
            </w:r>
          </w:p>
        </w:tc>
        <w:tc>
          <w:tcPr/>
          <w:p>
            <w:pPr>
              <w:pStyle w:val="Compact"/>
            </w:pPr>
            <w:r>
              <w:t xml:space="preserve">“God will provide for himself the lamb for a burnt offering, my son”</w:t>
            </w:r>
            <w:r>
              <w:t xml:space="preserve"> </w:t>
            </w:r>
            <w:r>
              <w:t xml:space="preserve">— they went both together</w:t>
            </w:r>
          </w:p>
        </w:tc>
        <w:tc>
          <w:tcPr/>
          <w:p>
            <w:pPr>
              <w:pStyle w:val="Compact"/>
            </w:pPr>
            <w:r>
              <w:t xml:space="preserve">Abraham’s answer is simultaneously faith, evasion, and unwitting prophecy;</w:t>
            </w:r>
            <w:r>
              <w:t xml:space="preserve"> </w:t>
            </w:r>
            <w:r>
              <w:t xml:space="preserve">“both together”</w:t>
            </w:r>
            <w:r>
              <w:t xml:space="preserve"> </w:t>
            </w:r>
            <w:r>
              <w:t xml:space="preserve">— the unity of father and son under the weight of the moment</w:t>
            </w:r>
          </w:p>
        </w:tc>
      </w:tr>
      <w:tr>
        <w:tc>
          <w:tcPr/>
          <w:p>
            <w:pPr>
              <w:pStyle w:val="Compact"/>
            </w:pPr>
            <w:r>
              <w:t xml:space="preserve">9</w:t>
            </w:r>
          </w:p>
        </w:tc>
        <w:tc>
          <w:tcPr/>
          <w:p>
            <w:pPr>
              <w:pStyle w:val="Compact"/>
            </w:pPr>
            <w:r>
              <w:t xml:space="preserve">They arrive; Abraham builds the altar, arranges wood, binds Isaac, lays him on the altar</w:t>
            </w:r>
          </w:p>
        </w:tc>
        <w:tc>
          <w:tcPr/>
          <w:p>
            <w:pPr>
              <w:pStyle w:val="Compact"/>
            </w:pPr>
            <w:r>
              <w:t xml:space="preserve">The binding —</w:t>
            </w:r>
            <w:r>
              <w:t xml:space="preserve"> </w:t>
            </w:r>
            <w:r>
              <w:rPr>
                <w:i/>
                <w:iCs/>
              </w:rPr>
              <w:t xml:space="preserve">Akedah</w:t>
            </w:r>
            <w:r>
              <w:t xml:space="preserve">; narrative slows to maximum precision; each verb deliberate</w:t>
            </w:r>
          </w:p>
        </w:tc>
      </w:tr>
      <w:tr>
        <w:tc>
          <w:tcPr/>
          <w:p>
            <w:pPr>
              <w:pStyle w:val="Compact"/>
            </w:pPr>
            <w:r>
              <w:t xml:space="preserve">10</w:t>
            </w:r>
          </w:p>
        </w:tc>
        <w:tc>
          <w:tcPr/>
          <w:p>
            <w:pPr>
              <w:pStyle w:val="Compact"/>
            </w:pPr>
            <w:r>
              <w:t xml:space="preserve">Abraham stretches out his hand and takes the knife to slaughter his son</w:t>
            </w:r>
          </w:p>
        </w:tc>
        <w:tc>
          <w:tcPr/>
          <w:p>
            <w:pPr>
              <w:pStyle w:val="Compact"/>
            </w:pPr>
            <w:r>
              <w:t xml:space="preserve">The intention is complete; the act is about to be irreversible</w:t>
            </w:r>
          </w:p>
        </w:tc>
      </w:tr>
      <w:tr>
        <w:tc>
          <w:tcPr/>
          <w:p>
            <w:pPr>
              <w:pStyle w:val="Compact"/>
            </w:pPr>
            <w:r>
              <w:t xml:space="preserve">11</w:t>
            </w:r>
          </w:p>
        </w:tc>
        <w:tc>
          <w:tcPr/>
          <w:p>
            <w:pPr>
              <w:pStyle w:val="Compact"/>
            </w:pPr>
            <w:r>
              <w:t xml:space="preserve">The angel of the LORD calls from heaven:</w:t>
            </w:r>
            <w:r>
              <w:t xml:space="preserve"> </w:t>
            </w:r>
            <w:r>
              <w:t xml:space="preserve">“Abraham, Abraham!”</w:t>
            </w:r>
            <w:r>
              <w:t xml:space="preserve"> </w:t>
            </w:r>
            <w:r>
              <w:t xml:space="preserve">—</w:t>
            </w:r>
            <w:r>
              <w:t xml:space="preserve"> </w:t>
            </w:r>
            <w:r>
              <w:t xml:space="preserve">“Here I am”</w:t>
            </w:r>
          </w:p>
        </w:tc>
        <w:tc>
          <w:tcPr/>
          <w:p>
            <w:pPr>
              <w:pStyle w:val="Compact"/>
            </w:pPr>
            <w:r>
              <w:t xml:space="preserve">Third</w:t>
            </w:r>
            <w:r>
              <w:t xml:space="preserve"> </w:t>
            </w:r>
            <w:r>
              <w:rPr>
                <w:i/>
                <w:iCs/>
              </w:rPr>
              <w:t xml:space="preserve">hineni</w:t>
            </w:r>
            <w:r>
              <w:t xml:space="preserve">; divine intervention at the last possible moment; doubled name signals urgency and tenderness</w:t>
            </w:r>
          </w:p>
        </w:tc>
      </w:tr>
      <w:tr>
        <w:tc>
          <w:tcPr/>
          <w:p>
            <w:pPr>
              <w:pStyle w:val="Compact"/>
            </w:pPr>
            <w:r>
              <w:t xml:space="preserve">12</w:t>
            </w:r>
          </w:p>
        </w:tc>
        <w:tc>
          <w:tcPr/>
          <w:p>
            <w:pPr>
              <w:pStyle w:val="Compact"/>
            </w:pPr>
            <w:r>
              <w:t xml:space="preserve">“Do not lay your hand on the boy — now I know that you fear God, seeing you have not withheld your son, your only son, from me”</w:t>
            </w:r>
          </w:p>
        </w:tc>
        <w:tc>
          <w:tcPr/>
          <w:p>
            <w:pPr>
              <w:pStyle w:val="Compact"/>
            </w:pPr>
            <w:r>
              <w:t xml:space="preserve">“Now I know”</w:t>
            </w:r>
            <w:r>
              <w:t xml:space="preserve"> </w:t>
            </w:r>
            <w:r>
              <w:t xml:space="preserve">— the test has accomplished its purpose: faith demonstrated, verified, made visible;</w:t>
            </w:r>
            <w:r>
              <w:t xml:space="preserve"> </w:t>
            </w:r>
            <w:r>
              <w:t xml:space="preserve">“not withheld”</w:t>
            </w:r>
            <w:r>
              <w:t xml:space="preserve"> </w:t>
            </w:r>
            <w:r>
              <w:t xml:space="preserve">— key verb, echoed in Romans 8:32</w:t>
            </w:r>
          </w:p>
        </w:tc>
      </w:tr>
      <w:tr>
        <w:tc>
          <w:tcPr/>
          <w:p>
            <w:pPr>
              <w:pStyle w:val="Compact"/>
            </w:pPr>
            <w:r>
              <w:t xml:space="preserve">13</w:t>
            </w:r>
          </w:p>
        </w:tc>
        <w:tc>
          <w:tcPr/>
          <w:p>
            <w:pPr>
              <w:pStyle w:val="Compact"/>
            </w:pPr>
            <w:r>
              <w:t xml:space="preserve">Abraham looks up — a ram caught in a thicket — offers it as a burnt offering instead of his son</w:t>
            </w:r>
          </w:p>
        </w:tc>
        <w:tc>
          <w:tcPr/>
          <w:p>
            <w:pPr>
              <w:pStyle w:val="Compact"/>
            </w:pPr>
            <w:r>
              <w:t xml:space="preserve">“Instead of his son”</w:t>
            </w:r>
            <w:r>
              <w:t xml:space="preserve"> </w:t>
            </w:r>
            <w:r>
              <w:t xml:space="preserve">(</w:t>
            </w:r>
            <w:r>
              <w:rPr>
                <w:i/>
                <w:iCs/>
              </w:rPr>
              <w:t xml:space="preserve">tahat beno</w:t>
            </w:r>
            <w:r>
              <w:t xml:space="preserve">) — substitution is explicit; the vocabulary of replacement is built into the text</w:t>
            </w:r>
          </w:p>
        </w:tc>
      </w:tr>
      <w:tr>
        <w:tc>
          <w:tcPr/>
          <w:p>
            <w:pPr>
              <w:pStyle w:val="Compact"/>
            </w:pPr>
            <w:r>
              <w:t xml:space="preserve">14</w:t>
            </w:r>
          </w:p>
        </w:tc>
        <w:tc>
          <w:tcPr/>
          <w:p>
            <w:pPr>
              <w:pStyle w:val="Compact"/>
            </w:pPr>
            <w:r>
              <w:t xml:space="preserve">Abraham names the place</w:t>
            </w:r>
            <w:r>
              <w:t xml:space="preserve"> </w:t>
            </w:r>
            <w:r>
              <w:t xml:space="preserve">“The LORD Will Provide”</w:t>
            </w:r>
            <w:r>
              <w:t xml:space="preserve"> </w:t>
            </w:r>
            <w:r>
              <w:t xml:space="preserve">—</w:t>
            </w:r>
            <w:r>
              <w:t xml:space="preserve"> </w:t>
            </w:r>
            <w:r>
              <w:t xml:space="preserve">“on the mountain of the LORD it shall be provided”</w:t>
            </w:r>
          </w:p>
        </w:tc>
        <w:tc>
          <w:tcPr/>
          <w:p>
            <w:pPr>
              <w:pStyle w:val="Compact"/>
            </w:pPr>
            <w:r>
              <w:t xml:space="preserve">Yahweh-Jireh; future passive —</w:t>
            </w:r>
            <w:r>
              <w:t xml:space="preserve"> </w:t>
            </w:r>
            <w:r>
              <w:t xml:space="preserve">“it shall be provided”</w:t>
            </w:r>
            <w:r>
              <w:t xml:space="preserve"> </w:t>
            </w:r>
            <w:r>
              <w:t xml:space="preserve">— the ram is not the final provision; the name points forward</w:t>
            </w:r>
          </w:p>
        </w:tc>
      </w:tr>
      <w:tr>
        <w:tc>
          <w:tcPr/>
          <w:p>
            <w:pPr>
              <w:pStyle w:val="Compact"/>
            </w:pPr>
            <w:r>
              <w:t xml:space="preserve">15-16</w:t>
            </w:r>
          </w:p>
        </w:tc>
        <w:tc>
          <w:tcPr/>
          <w:p>
            <w:pPr>
              <w:pStyle w:val="Compact"/>
            </w:pPr>
            <w:r>
              <w:t xml:space="preserve">The angel of the LORD calls a second time — God swears by Himself</w:t>
            </w:r>
          </w:p>
        </w:tc>
        <w:tc>
          <w:tcPr/>
          <w:p>
            <w:pPr>
              <w:pStyle w:val="Compact"/>
            </w:pPr>
            <w:r>
              <w:t xml:space="preserve">Divine self-oath: the strongest possible pledge; because there is no greater, God swears by Himself (Hebrews 6:13)</w:t>
            </w:r>
          </w:p>
        </w:tc>
      </w:tr>
      <w:tr>
        <w:tc>
          <w:tcPr/>
          <w:p>
            <w:pPr>
              <w:pStyle w:val="Compact"/>
            </w:pPr>
            <w:r>
              <w:t xml:space="preserve">17</w:t>
            </w:r>
          </w:p>
        </w:tc>
        <w:tc>
          <w:tcPr/>
          <w:p>
            <w:pPr>
              <w:pStyle w:val="Compact"/>
            </w:pPr>
            <w:r>
              <w:t xml:space="preserve">Blessing: multiply your offspring like stars / sand; your offspring shall possess the gate of his enemies</w:t>
            </w:r>
          </w:p>
        </w:tc>
        <w:tc>
          <w:tcPr/>
          <w:p>
            <w:pPr>
              <w:pStyle w:val="Compact"/>
            </w:pPr>
            <w:r>
              <w:t xml:space="preserve">Reaffirmation of Genesis 12:1-3 and 15:5 covenant promises, now sworn with oath</w:t>
            </w:r>
          </w:p>
        </w:tc>
      </w:tr>
      <w:tr>
        <w:tc>
          <w:tcPr/>
          <w:p>
            <w:pPr>
              <w:pStyle w:val="Compact"/>
            </w:pPr>
            <w:r>
              <w:t xml:space="preserve">18</w:t>
            </w:r>
          </w:p>
        </w:tc>
        <w:tc>
          <w:tcPr/>
          <w:p>
            <w:pPr>
              <w:pStyle w:val="Compact"/>
            </w:pPr>
            <w:r>
              <w:t xml:space="preserve">“In your offspring shall all the nations of the earth be blessed, because you have obeyed my voice”</w:t>
            </w:r>
          </w:p>
        </w:tc>
        <w:tc>
          <w:tcPr/>
          <w:p>
            <w:pPr>
              <w:pStyle w:val="Compact"/>
            </w:pPr>
            <w:r>
              <w:t xml:space="preserve">The Abrahamic covenant’s universal scope;</w:t>
            </w:r>
            <w:r>
              <w:t xml:space="preserve"> </w:t>
            </w:r>
            <w:r>
              <w:t xml:space="preserve">“your offspring”</w:t>
            </w:r>
            <w:r>
              <w:t xml:space="preserve"> </w:t>
            </w:r>
            <w:r>
              <w:t xml:space="preserve">= Christ (Galatians 3:16);</w:t>
            </w:r>
            <w:r>
              <w:t xml:space="preserve"> </w:t>
            </w:r>
            <w:r>
              <w:t xml:space="preserve">“because you obeyed”</w:t>
            </w:r>
            <w:r>
              <w:t xml:space="preserve"> </w:t>
            </w:r>
            <w:r>
              <w:t xml:space="preserve">— obedience as the condition of covenant confirmation, not the ground of the covenant itself</w:t>
            </w:r>
          </w:p>
        </w:tc>
      </w:tr>
      <w:tr>
        <w:tc>
          <w:tcPr/>
          <w:p>
            <w:pPr>
              <w:pStyle w:val="Compact"/>
            </w:pPr>
            <w:r>
              <w:t xml:space="preserve">19</w:t>
            </w:r>
          </w:p>
        </w:tc>
        <w:tc>
          <w:tcPr/>
          <w:p>
            <w:pPr>
              <w:pStyle w:val="Compact"/>
            </w:pPr>
            <w:r>
              <w:t xml:space="preserve">Abraham returns to his servants — they go to Beersheba — Abraham lived at Beersheba</w:t>
            </w:r>
          </w:p>
        </w:tc>
        <w:tc>
          <w:tcPr/>
          <w:p>
            <w:pPr>
              <w:pStyle w:val="Compact"/>
            </w:pPr>
            <w:r>
              <w:t xml:space="preserve">Isaac not mentioned — notable silence; the narrative does not explain it</w:t>
            </w:r>
          </w:p>
        </w:tc>
      </w:tr>
      <w:tr>
        <w:tc>
          <w:tcPr/>
          <w:p>
            <w:pPr>
              <w:pStyle w:val="Compact"/>
            </w:pPr>
            <w:r>
              <w:t xml:space="preserve">20-24</w:t>
            </w:r>
          </w:p>
        </w:tc>
        <w:tc>
          <w:tcPr/>
          <w:p>
            <w:pPr>
              <w:pStyle w:val="Compact"/>
            </w:pPr>
            <w:r>
              <w:t xml:space="preserve">Genealogy of Nahor — introduces Rebekah</w:t>
            </w:r>
          </w:p>
        </w:tc>
        <w:tc>
          <w:tcPr/>
          <w:p>
            <w:pPr>
              <w:pStyle w:val="Compact"/>
            </w:pPr>
            <w:r>
              <w:t xml:space="preserve">Structural transition; Rebekah as Isaac’s future bride introduced — the seed will continue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Command: God Tests What He Has Given</w:t>
            </w:r>
          </w:p>
        </w:tc>
      </w:tr>
      <w:tr>
        <w:tc>
          <w:tcPr/>
          <w:p>
            <w:pPr>
              <w:pStyle w:val="Compact"/>
            </w:pPr>
            <w:r>
              <w:t xml:space="preserve">2</w:t>
            </w:r>
          </w:p>
        </w:tc>
        <w:tc>
          <w:tcPr/>
          <w:p>
            <w:pPr>
              <w:pStyle w:val="Compact"/>
            </w:pPr>
            <w:r>
              <w:t xml:space="preserve">3-8</w:t>
            </w:r>
          </w:p>
        </w:tc>
        <w:tc>
          <w:tcPr/>
          <w:p>
            <w:pPr>
              <w:pStyle w:val="Compact"/>
            </w:pPr>
            <w:r>
              <w:t xml:space="preserve">The Ascent: Faith Walking Toward the Impossible</w:t>
            </w:r>
          </w:p>
        </w:tc>
      </w:tr>
      <w:tr>
        <w:tc>
          <w:tcPr/>
          <w:p>
            <w:pPr>
              <w:pStyle w:val="Compact"/>
            </w:pPr>
            <w:r>
              <w:t xml:space="preserve">3</w:t>
            </w:r>
          </w:p>
        </w:tc>
        <w:tc>
          <w:tcPr/>
          <w:p>
            <w:pPr>
              <w:pStyle w:val="Compact"/>
            </w:pPr>
            <w:r>
              <w:t xml:space="preserve">9-14</w:t>
            </w:r>
          </w:p>
        </w:tc>
        <w:tc>
          <w:tcPr/>
          <w:p>
            <w:pPr>
              <w:pStyle w:val="Compact"/>
            </w:pPr>
            <w:r>
              <w:t xml:space="preserve">The Binding, the Substitute, and the Name</w:t>
            </w:r>
          </w:p>
        </w:tc>
      </w:tr>
      <w:tr>
        <w:tc>
          <w:tcPr/>
          <w:p>
            <w:pPr>
              <w:pStyle w:val="Compact"/>
            </w:pPr>
            <w:r>
              <w:t xml:space="preserve">4</w:t>
            </w:r>
          </w:p>
        </w:tc>
        <w:tc>
          <w:tcPr/>
          <w:p>
            <w:pPr>
              <w:pStyle w:val="Compact"/>
            </w:pPr>
            <w:r>
              <w:t xml:space="preserve">15-18</w:t>
            </w:r>
          </w:p>
        </w:tc>
        <w:tc>
          <w:tcPr/>
          <w:p>
            <w:pPr>
              <w:pStyle w:val="Compact"/>
            </w:pPr>
            <w:r>
              <w:t xml:space="preserve">The Oath: God Swears What God Will Do</w:t>
            </w:r>
          </w:p>
        </w:tc>
      </w:tr>
      <w:tr>
        <w:tc>
          <w:tcPr/>
          <w:p>
            <w:pPr>
              <w:pStyle w:val="Compact"/>
            </w:pPr>
            <w:r>
              <w:t xml:space="preserve">5</w:t>
            </w:r>
          </w:p>
        </w:tc>
        <w:tc>
          <w:tcPr/>
          <w:p>
            <w:pPr>
              <w:pStyle w:val="Compact"/>
            </w:pPr>
            <w:r>
              <w:t xml:space="preserve">19-24</w:t>
            </w:r>
          </w:p>
        </w:tc>
        <w:tc>
          <w:tcPr/>
          <w:p>
            <w:pPr>
              <w:pStyle w:val="Compact"/>
            </w:pPr>
            <w:r>
              <w:t xml:space="preserve">The Return and the Seed That Continues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God who tests faith also provides the sacrifice — at a cost only He could bear.</w:t>
      </w:r>
    </w:p>
    <w:p>
      <w:pPr>
        <w:pStyle w:val="BodyText"/>
      </w:pPr>
      <w:r>
        <w:rPr>
          <w:b/>
          <w:bCs/>
        </w:rPr>
        <w:t xml:space="preserve">Primary Claim:</w:t>
      </w:r>
      <w:r>
        <w:t xml:space="preserve"> </w:t>
      </w:r>
      <w:r>
        <w:t xml:space="preserve">God calls His people to an undivided, Isaac-surrendering trust — and He underwrites that call by providing, at His own cost, what no obedience could ever supply. Abraham’s radical faith is not the resolution of Genesis 22; the ram that God Himself provides is, and it points beyond itself to a provision that will cost God not a ram but a Son.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Identify your Isaac — and release the grip.</w:t>
      </w:r>
      <w:r>
        <w:t xml:space="preserve"> </w:t>
      </w:r>
      <w:r>
        <w:rPr>
          <w:i/>
          <w:iCs/>
        </w:rPr>
        <w:t xml:space="preserve">(Affections/Worship)</w:t>
      </w:r>
      <w:r>
        <w:t xml:space="preserve"> </w:t>
      </w:r>
      <w:r>
        <w:t xml:space="preserve">Abraham’s test is not first about behavior but about the architecture of his heart: what has become so essential to the future you trust that losing it would feel like losing God’s faithfulness? The passage demands self-examination at precisely this level. The Isaac in your life is not inherently wrong — God gave Isaac, just as He gives the things we clutch. The question Genesis 22 forces is whether the gift has become an idol — whether you trust God</w:t>
      </w:r>
      <w:r>
        <w:t xml:space="preserve"> </w:t>
      </w:r>
      <w:r>
        <w:rPr>
          <w:i/>
          <w:iCs/>
        </w:rPr>
        <w:t xml:space="preserve">through</w:t>
      </w:r>
      <w:r>
        <w:t xml:space="preserve"> </w:t>
      </w:r>
      <w:r>
        <w:t xml:space="preserve">the gift or</w:t>
      </w:r>
      <w:r>
        <w:t xml:space="preserve"> </w:t>
      </w:r>
      <w:r>
        <w:rPr>
          <w:i/>
          <w:iCs/>
        </w:rPr>
        <w:t xml:space="preserve">in place of</w:t>
      </w:r>
      <w:r>
        <w:t xml:space="preserve"> </w:t>
      </w:r>
      <w:r>
        <w:t xml:space="preserve">God because of the gift. The application is not immediate surrender (though it may come to that) but honest identification: what, if God asked for it, would make His goodness feel like a lie?</w:t>
      </w:r>
    </w:p>
    <w:p>
      <w:pPr>
        <w:pStyle w:val="BodyText"/>
      </w:pPr>
      <w:r>
        <w:rPr>
          <w:b/>
          <w:bCs/>
        </w:rPr>
        <w:t xml:space="preserve">2. Trust the God who has already sworn — which means you can stop negotiating.</w:t>
      </w:r>
      <w:r>
        <w:t xml:space="preserve"> </w:t>
      </w:r>
      <w:r>
        <w:rPr>
          <w:i/>
          <w:iCs/>
        </w:rPr>
        <w:t xml:space="preserve">(Mind/Belief)</w:t>
      </w:r>
      <w:r>
        <w:t xml:space="preserve"> </w:t>
      </w:r>
      <w:r>
        <w:t xml:space="preserve">Abraham’s faith in Genesis 22 is not credulous or naive — it is grounded in prior covenant history. He is trusting a God who has already spoken, already promised, already acted (Genesis 12, 15, 17). The New Testament reader stands in an even more privileged position: God has not only sworn but delivered — the Son has been given, the resurrection has occurred, the promises have been ratified in blood. The application is cognitive and theological: stop treating God as if His faithfulness is still in question, as if His prior acts are insufficient grounds for present trust. The one who</w:t>
      </w:r>
      <w:r>
        <w:t xml:space="preserve"> </w:t>
      </w:r>
      <w:r>
        <w:t xml:space="preserve">“did not spare his own Son”</w:t>
      </w:r>
      <w:r>
        <w:t xml:space="preserve"> </w:t>
      </w:r>
      <w:r>
        <w:t xml:space="preserve">(Romans 8:32) has already demonstrated what He is willing to provide. Your current trial is not evidence that God has changed His mind.</w:t>
      </w:r>
    </w:p>
    <w:p>
      <w:pPr>
        <w:pStyle w:val="BodyText"/>
      </w:pPr>
      <w:r>
        <w:rPr>
          <w:b/>
          <w:bCs/>
        </w:rPr>
        <w:t xml:space="preserve">3. Preach</w:t>
      </w:r>
      <w:r>
        <w:rPr>
          <w:b/>
          <w:bCs/>
        </w:rPr>
        <w:t xml:space="preserve"> </w:t>
      </w:r>
      <w:r>
        <w:rPr>
          <w:b/>
          <w:bCs/>
        </w:rPr>
        <w:t xml:space="preserve">“God will provide”</w:t>
      </w:r>
      <w:r>
        <w:rPr>
          <w:b/>
          <w:bCs/>
        </w:rPr>
        <w:t xml:space="preserve"> </w:t>
      </w:r>
      <w:r>
        <w:rPr>
          <w:b/>
          <w:bCs/>
        </w:rPr>
        <w:t xml:space="preserve">to the people walking beside you toward their Moriah.</w:t>
      </w:r>
      <w:r>
        <w:t xml:space="preserve"> </w:t>
      </w:r>
      <w:r>
        <w:rPr>
          <w:i/>
          <w:iCs/>
        </w:rPr>
        <w:t xml:space="preserve">(Will/Behavior)</w:t>
      </w:r>
      <w:r>
        <w:t xml:space="preserve"> </w:t>
      </w:r>
      <w:r>
        <w:t xml:space="preserve">Abraham’s answer to Isaac —</w:t>
      </w:r>
      <w:r>
        <w:t xml:space="preserve"> </w:t>
      </w:r>
      <w:r>
        <w:t xml:space="preserve">“God will provide for himself the lamb”</w:t>
      </w:r>
      <w:r>
        <w:t xml:space="preserve"> </w:t>
      </w:r>
      <w:r>
        <w:t xml:space="preserve">— is the right word at the hardest possible moment, spoken by a man who does not yet know how. Christians are regularly alongside people who are ascending their own Moriah: a diagnosis, a prodigal, a marriage collapsing, a vocation ending. Genesis 22 trains us not to offer false comfort (</w:t>
      </w:r>
      <w:r>
        <w:t xml:space="preserve">“I’m sure it will work out”</w:t>
      </w:r>
      <w:r>
        <w:t xml:space="preserve">) or silence, but to speak the specific word of covenant faith:</w:t>
      </w:r>
      <w:r>
        <w:t xml:space="preserve"> </w:t>
      </w:r>
      <w:r>
        <w:t xml:space="preserve">“God will provide.”</w:t>
      </w:r>
      <w:r>
        <w:t xml:space="preserve"> </w:t>
      </w:r>
      <w:r>
        <w:t xml:space="preserve">This requires that we know the God who provides — not abstractly, but through personal encounter with His prior faithfulness. The application is concrete: identify one person near you who is on the ascent, and speak the word Abraham spoke, not as a platitude but as covenantal truth.</w:t>
      </w:r>
    </w:p>
    <w:p>
      <w:pPr>
        <w:pStyle w:val="BodyText"/>
      </w:pPr>
      <w:r>
        <w:rPr>
          <w:b/>
          <w:bCs/>
        </w:rPr>
        <w:t xml:space="preserve">4. Receive the Lamb — the provision you could not make for yourself.</w:t>
      </w:r>
      <w:r>
        <w:t xml:space="preserve"> </w:t>
      </w:r>
      <w:r>
        <w:rPr>
          <w:i/>
          <w:iCs/>
        </w:rPr>
        <w:t xml:space="preserve">(Mind/Belief)</w:t>
      </w:r>
      <w:r>
        <w:t xml:space="preserve"> </w:t>
      </w:r>
      <w:r>
        <w:t xml:space="preserve">The ram in the thicket is the pivot of the entire narrative, and it is not Abraham’s achievement — it is God’s provision. Genesis 22 exposes the human tendency to believe, at some level, that our obedience, our sacrifice, our moral striving will eventually resolve our standing before God. The ram says otherwise: the sacrifice that counts is the one God provides, not the one we bring. The New Testament names that ram:</w:t>
      </w:r>
      <w:r>
        <w:t xml:space="preserve"> </w:t>
      </w:r>
      <w:r>
        <w:t xml:space="preserve">“Behold, the Lamb of God, who takes away the sin of the world”</w:t>
      </w:r>
      <w:r>
        <w:t xml:space="preserve"> </w:t>
      </w:r>
      <w:r>
        <w:t xml:space="preserve">(John 1:29). The application is gospel-reception, not gospel-achievement: stop bringing your own sacrifice; the altar on Moriah’s ridge has already been supplied.</w:t>
      </w:r>
    </w:p>
    <w:p>
      <w:pPr>
        <w:pStyle w:val="BodyText"/>
      </w:pPr>
      <w:r>
        <w:rPr>
          <w:b/>
          <w:bCs/>
        </w:rPr>
        <w:t xml:space="preserve">5. Let your obedience be costly enough to be real.</w:t>
      </w:r>
      <w:r>
        <w:t xml:space="preserve"> </w:t>
      </w:r>
      <w:r>
        <w:rPr>
          <w:i/>
          <w:iCs/>
        </w:rPr>
        <w:t xml:space="preserve">(Will/Behavior)</w:t>
      </w:r>
      <w:r>
        <w:t xml:space="preserve"> </w:t>
      </w:r>
      <w:r>
        <w:t xml:space="preserve">Abraham rose early. He traveled three days. He split the wood. He bound his son. He raised the knife. Genesis 22 refuses to let obedience remain theoretical, comfortable, or cost-free. The text does not commend Abraham’s theological understanding of the covenant — it commends that he</w:t>
      </w:r>
      <w:r>
        <w:t xml:space="preserve"> </w:t>
      </w:r>
      <w:r>
        <w:t xml:space="preserve">“did not withhold”</w:t>
      </w:r>
      <w:r>
        <w:t xml:space="preserve"> </w:t>
      </w:r>
      <w:r>
        <w:t xml:space="preserve">his son (v. 12). There is a form of Christian profession that is fluent in the language of surrender but has never actually surrendered anything that hurt. The passage asks a concrete question: what costly act of obedience have you been deferring — not for lack of understanding but for lack of willingness to pay the price?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22 displays the character of God across three dimensions simultaneously. First, God is sovereign and testing: He initiates the trial, designs its form, and controls its outcome — the test is not accidental, and Abraham is not caught off guard by a capricious deity but placed under the deliberate hand of a God who knows what He is doing. Second, God is faithful and providing: He stops Abraham at the precise moment the intention has been made irreversible, supplies the ram</w:t>
      </w:r>
      <w:r>
        <w:t xml:space="preserve"> </w:t>
      </w:r>
      <w:r>
        <w:t xml:space="preserve">“instead of”</w:t>
      </w:r>
      <w:r>
        <w:t xml:space="preserve"> </w:t>
      </w:r>
      <w:r>
        <w:t xml:space="preserve">Isaac, and swears by Himself to multiply blessing and extend it to all nations — demonstrating that His covenant purposes will not be derailed by any cost, even the apparent cost of His promise. Third, and most significantly, God is self-giving: the logic of Yahweh-Jireh does not terminate at the ram; the future passive</w:t>
      </w:r>
      <w:r>
        <w:t xml:space="preserve"> </w:t>
      </w:r>
      <w:r>
        <w:t xml:space="preserve">“it shall be provided”</w:t>
      </w:r>
      <w:r>
        <w:t xml:space="preserve"> </w:t>
      </w:r>
      <w:r>
        <w:t xml:space="preserve">(v. 14) and Paul’s echo in Romans 8:32 (</w:t>
      </w:r>
      <w:r>
        <w:t xml:space="preserve">“he who did not spare his own Son”</w:t>
      </w:r>
      <w:r>
        <w:t xml:space="preserve">) reveal that what Genesis 22 anticipates, the Father completes — at a cost to Himself that Abraham was spared. The God who tests Abraham’s willingness to withhold nothing will Himself withhold nothing.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22 is one of the Old Testament’s most concentrated expressions of the Reformed</w:t>
      </w:r>
      <w:r>
        <w:t xml:space="preserve"> </w:t>
      </w:r>
      <w:r>
        <w:rPr>
          <w:i/>
          <w:iCs/>
        </w:rPr>
        <w:t xml:space="preserve">ordo salutis</w:t>
      </w:r>
      <w:r>
        <w:t xml:space="preserve"> </w:t>
      </w:r>
      <w:r>
        <w:t xml:space="preserve">logic: the ground of acceptance before God is never human performance but divine provision. Abraham’s obedience does not purchase the promise — the promise was already sworn in Genesis 15 on the basis of God’s sovereign grace alone, ratified while Abraham slept, when he could contribute nothing. Genesis 22 functions as the crucible in which that prior grace is proven, not the moment at which grace is earned. The Reformed doctrine of justification by faith alone (sola fide) is anticipated precisely in this structure: Abraham</w:t>
      </w:r>
      <w:r>
        <w:t xml:space="preserve"> </w:t>
      </w:r>
      <w:r>
        <w:t xml:space="preserve">“believed God, and it was counted to him as righteousness”</w:t>
      </w:r>
      <w:r>
        <w:t xml:space="preserve"> </w:t>
      </w:r>
      <w:r>
        <w:t xml:space="preserve">(Genesis 15:6; Romans 4:3) — and that faith is displayed and verified in Genesis 22, not first established by it. Furthermore, the substitutionary logic of the ram —</w:t>
      </w:r>
      <w:r>
        <w:t xml:space="preserve"> </w:t>
      </w:r>
      <w:r>
        <w:t xml:space="preserve">“instead of his son”</w:t>
      </w:r>
      <w:r>
        <w:t xml:space="preserve"> </w:t>
      </w:r>
      <w:r>
        <w:t xml:space="preserve">— is the Old Testament’s clearest grammatical pre-enactment of penal substitutionary atonement, the doctrine at the center of Reformed soteriology. The Lamb of God does not merely inspire, exemplify, or morally influence — He stands</w:t>
      </w:r>
      <w:r>
        <w:t xml:space="preserve"> </w:t>
      </w:r>
      <w:r>
        <w:rPr>
          <w:i/>
          <w:iCs/>
        </w:rPr>
        <w:t xml:space="preserve">tahat</w:t>
      </w:r>
      <w:r>
        <w:t xml:space="preserve">,</w:t>
      </w:r>
      <w:r>
        <w:t xml:space="preserve"> </w:t>
      </w:r>
      <w:r>
        <w:t xml:space="preserve">“instead of,”</w:t>
      </w:r>
      <w:r>
        <w:t xml:space="preserve"> </w:t>
      </w:r>
      <w:r>
        <w:t xml:space="preserve">absorbing the judgment that was otherwise irreversible.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asking you for your Isaac because He needs it. He is asking because He wants you to discover what Abraham discovered on the mountain: that the God who asks is already the God who provides — and that the provision He has made cost Him not a ram but His Son. The knife was real, the wood was real, the three-day walk was real — and so is the Lamb. Stop hoarding what He gave you, and stop bringing your own sacrifice. The altar has been supplied.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moral example (</w:t>
      </w:r>
      <w:r>
        <w:rPr>
          <w:b/>
          <w:bCs/>
        </w:rPr>
        <w:t xml:space="preserve">“be like Abraham”</w:t>
      </w:r>
      <w:r>
        <w:rPr>
          <w:b/>
          <w:bCs/>
        </w:rPr>
        <w:t xml:space="preserve">).</w:t>
      </w:r>
      <w:r>
        <w:t xml:space="preserve"> </w:t>
      </w:r>
      <w:r>
        <w:t xml:space="preserve">This is the most common homiletical failure with Genesis 22. The application</w:t>
      </w:r>
      <w:r>
        <w:t xml:space="preserve"> </w:t>
      </w:r>
      <w:r>
        <w:t xml:space="preserve">“be willing to sacrifice your Isaac”</w:t>
      </w:r>
      <w:r>
        <w:t xml:space="preserve"> </w:t>
      </w:r>
      <w:r>
        <w:t xml:space="preserve">is not wrong but is radically incomplete. A sermon that ends with the exhortation to radical surrender without arriving at the ram, the substitution, and the Christological provision it anticipates has preached half a text. The passage’s moral call is only intelligible in light of its gospel content — and the gospel content is not background; it is the resolution. Preachers must reach the ram before they reach the application.</w:t>
      </w:r>
    </w:p>
    <w:p>
      <w:pPr>
        <w:numPr>
          <w:ilvl w:val="0"/>
          <w:numId w:val="1002"/>
        </w:numPr>
      </w:pPr>
      <w:r>
        <w:rPr>
          <w:b/>
          <w:bCs/>
        </w:rPr>
        <w:t xml:space="preserve">Domesticating the test by assuming Abraham knew God would intervene.</w:t>
      </w:r>
      <w:r>
        <w:t xml:space="preserve"> </w:t>
      </w:r>
      <w:r>
        <w:t xml:space="preserve">As noted in the Interpretive Evaluation, this softening evacuates both the test’s severity and Abraham’s faith’s greatness. Hebrews 11:17-19 forecloses this reading. If Abraham knew the knife would be stopped, there is no test, no faith, no commendation, and no sermon. Preach the test as the text presents it: fully real, fully costly, requiring faith in a God who could do the impossible.</w:t>
      </w:r>
    </w:p>
    <w:p>
      <w:pPr>
        <w:numPr>
          <w:ilvl w:val="0"/>
          <w:numId w:val="1002"/>
        </w:numPr>
      </w:pPr>
      <w:r>
        <w:rPr>
          <w:b/>
          <w:bCs/>
        </w:rPr>
        <w:t xml:space="preserve">Isolating the passage from its covenant context (Genesis 12-21).</w:t>
      </w:r>
      <w:r>
        <w:t xml:space="preserve"> </w:t>
      </w:r>
      <w:r>
        <w:t xml:space="preserve">Abraham’s faith in Genesis 22 is not Abraham’s temperament — it is the fruit of prior covenant encounter with a God who had already proven Himself. Preachers who present Genesis 22 without grounding Abraham’s faith in that prior covenant history produce an impossible standard (</w:t>
      </w:r>
      <w:r>
        <w:t xml:space="preserve">“be this faithful”</w:t>
      </w:r>
      <w:r>
        <w:t xml:space="preserve">) rather than a gospel-grounded invitation (</w:t>
      </w:r>
      <w:r>
        <w:t xml:space="preserve">“trust this God”</w:t>
      </w:r>
      <w:r>
        <w:t xml:space="preserve">). The sermon must contextualize Abraham’s faith in the God who gave the promise before He asked for its instrument.</w:t>
      </w:r>
    </w:p>
    <w:p>
      <w:pPr>
        <w:numPr>
          <w:ilvl w:val="0"/>
          <w:numId w:val="1002"/>
        </w:numPr>
      </w:pPr>
      <w:r>
        <w:rPr>
          <w:b/>
          <w:bCs/>
        </w:rPr>
        <w:t xml:space="preserve">Skipping past Yahweh-Jireh and its future tense.</w:t>
      </w:r>
      <w:r>
        <w:t xml:space="preserve"> </w:t>
      </w:r>
      <w:r>
        <w:t xml:space="preserve">Verse 14b —</w:t>
      </w:r>
      <w:r>
        <w:t xml:space="preserve"> </w:t>
      </w:r>
      <w:r>
        <w:t xml:space="preserve">“on the mountain of the LORD it shall be provided”</w:t>
      </w:r>
      <w:r>
        <w:t xml:space="preserve"> </w:t>
      </w:r>
      <w:r>
        <w:t xml:space="preserve">— is not a summary of what just happened; it is a forward-pointing word. The place-name is itself a prophecy. Preachers who read</w:t>
      </w:r>
      <w:r>
        <w:t xml:space="preserve"> </w:t>
      </w:r>
      <w:r>
        <w:t xml:space="preserve">“The LORD Will Provide”</w:t>
      </w:r>
      <w:r>
        <w:t xml:space="preserve"> </w:t>
      </w:r>
      <w:r>
        <w:t xml:space="preserve">as merely a commemoration of the ram’s provision have missed the text’s eschatological freight. The ram is real but provisional; the future passive is doing theological work. This is where the typology is most textually grounded and where the Christological connection is most defensible — do not preach past it.</w:t>
      </w:r>
    </w:p>
    <w:p>
      <w:pPr>
        <w:numPr>
          <w:ilvl w:val="0"/>
          <w:numId w:val="1002"/>
        </w:numPr>
      </w:pPr>
      <w:r>
        <w:rPr>
          <w:b/>
          <w:bCs/>
        </w:rPr>
        <w:t xml:space="preserve">Mishandling the silence about Isaac in verse 19.</w:t>
      </w:r>
      <w:r>
        <w:t xml:space="preserve"> </w:t>
      </w:r>
      <w:r>
        <w:t xml:space="preserve">The text says Abraham returned to his servants — and conspicuously does not say Isaac returned with him. Jewish and Christian interpreters have noticed this for centuries. The text does not explain it, and preachers should not invent explanations. What the silence appropriately signals is that the narrative is not primarily Isaac’s story — it is Abraham’s faith and God’s provision. Some typological readers have suggested the silence prefigures Christ’s death; this is possible but should be offered with appropriate tentativeness. What must be avoided is either forcing an explanation the text does not provide or pretending the silence is not there.</w:t>
      </w:r>
    </w:p>
    <w:p>
      <w:pPr>
        <w:numPr>
          <w:ilvl w:val="0"/>
          <w:numId w:val="1002"/>
        </w:numPr>
      </w:pPr>
      <w:r>
        <w:rPr>
          <w:b/>
          <w:bCs/>
        </w:rPr>
        <w:t xml:space="preserve">Over-psychologizing Abraham’s inner state during the three-day journey.</w:t>
      </w:r>
      <w:r>
        <w:t xml:space="preserve"> </w:t>
      </w:r>
      <w:r>
        <w:t xml:space="preserve">The text gives us almost nothing about what Abraham felt, thought, or wrestled with between Beersheba and Moriah. Preachers who spend significant time constructing Abraham’s anguish, doubt, and inner turmoil are importing material not in the text — and, more importantly, they are importing it at the expense of what the text actually emphasizes: the precision of Abraham’s obedient actions, the content of his faith-speech, and the covenant-grounding of his trust. Emotional imagination has a place in preaching, but it must not displace the text’s own focus.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2026-07-14T21:01:08Z</dcterms:created>
  <dcterms:modified xsi:type="dcterms:W3CDTF">2026-07-14T21:01:08Z</dcterms:modified>
</cp:coreProperties>
</file>

<file path=docProps/custom.xml><?xml version="1.0" encoding="utf-8"?>
<Properties xmlns="http://schemas.openxmlformats.org/officeDocument/2006/custom-properties" xmlns:vt="http://schemas.openxmlformats.org/officeDocument/2006/docPropsVTypes"/>
</file>